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5000" w:type="pct"/>
        <w:tblLook w:val="04A0" w:firstRow="1" w:lastRow="0" w:firstColumn="1" w:lastColumn="0" w:noHBand="0" w:noVBand="1"/>
      </w:tblPr>
      <w:tblGrid>
        <w:gridCol w:w="1242"/>
        <w:gridCol w:w="3734"/>
        <w:gridCol w:w="2488"/>
        <w:gridCol w:w="2488"/>
        <w:gridCol w:w="2491"/>
        <w:gridCol w:w="2491"/>
      </w:tblGrid>
      <w:tr w:rsidR="00AD2E97" w:rsidRPr="004C67B8" w:rsidTr="00AD2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Pr="00AD2E97" w:rsidRDefault="00AD2E97" w:rsidP="00AD2E97">
            <w:pPr>
              <w:spacing w:before="60" w:after="80"/>
            </w:pPr>
            <w:r w:rsidRPr="00AD2E97">
              <w:t xml:space="preserve">Time/ </w:t>
            </w:r>
            <w:proofErr w:type="spellStart"/>
            <w:r w:rsidRPr="00AD2E97">
              <w:t>Obj</w:t>
            </w:r>
            <w:proofErr w:type="spellEnd"/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E97">
              <w:t>Content</w:t>
            </w: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E97">
              <w:t>Teacher activity</w:t>
            </w: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E97">
              <w:t>Learner activity</w:t>
            </w: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E97">
              <w:t>Resources</w:t>
            </w: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D2E97">
              <w:t>Assessment strategies</w:t>
            </w:r>
          </w:p>
        </w:tc>
      </w:tr>
      <w:tr w:rsidR="00AD2E97" w:rsidRPr="004C67B8" w:rsidTr="00A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P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vMerge w:val="restar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E97" w:rsidRPr="004C67B8" w:rsidTr="00A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P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Merge/>
          </w:tcPr>
          <w:p w:rsid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E97" w:rsidRPr="004C67B8" w:rsidTr="00A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P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vMerge/>
          </w:tcPr>
          <w:p w:rsid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E97" w:rsidRPr="004C67B8" w:rsidTr="00A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P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Merge/>
          </w:tcPr>
          <w:p w:rsid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D2E97" w:rsidRPr="004C67B8" w:rsidTr="00AD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34" w:type="pct"/>
            <w:vMerge/>
          </w:tcPr>
          <w:p w:rsidR="00AD2E97" w:rsidRDefault="00AD2E97" w:rsidP="00AD2E97">
            <w:pPr>
              <w:spacing w:before="60" w:after="8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D2E97" w:rsidRPr="004C67B8" w:rsidTr="00AD2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" w:type="pct"/>
          </w:tcPr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  <w:p w:rsidR="00AD2E97" w:rsidRDefault="00AD2E97" w:rsidP="00AD2E97">
            <w:pPr>
              <w:spacing w:before="60" w:after="80" w:line="276" w:lineRule="auto"/>
            </w:pPr>
          </w:p>
        </w:tc>
        <w:tc>
          <w:tcPr>
            <w:tcW w:w="1250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</w:tcPr>
          <w:p w:rsidR="00AD2E97" w:rsidRP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Merge/>
          </w:tcPr>
          <w:p w:rsidR="00AD2E97" w:rsidRDefault="00AD2E97" w:rsidP="00AD2E97">
            <w:pPr>
              <w:spacing w:before="60" w:after="8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C01A4" w:rsidRPr="004C67B8" w:rsidRDefault="008C01A4" w:rsidP="00AD2E97">
      <w:bookmarkStart w:id="0" w:name="_GoBack"/>
      <w:bookmarkEnd w:id="0"/>
    </w:p>
    <w:sectPr w:rsidR="008C01A4" w:rsidRPr="004C67B8" w:rsidSect="00AD2E97">
      <w:headerReference w:type="default" r:id="rId8"/>
      <w:footerReference w:type="default" r:id="rId9"/>
      <w:footerReference w:type="first" r:id="rId10"/>
      <w:pgSz w:w="16838" w:h="11906" w:orient="landscape"/>
      <w:pgMar w:top="1440" w:right="68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75" w:rsidRDefault="00F51F75" w:rsidP="008C01A4">
      <w:pPr>
        <w:spacing w:after="0" w:line="240" w:lineRule="auto"/>
      </w:pPr>
      <w:r>
        <w:separator/>
      </w:r>
    </w:p>
  </w:endnote>
  <w:endnote w:type="continuationSeparator" w:id="0">
    <w:p w:rsidR="00F51F75" w:rsidRDefault="00F51F75" w:rsidP="008C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28864"/>
      <w:docPartObj>
        <w:docPartGallery w:val="Page Numbers (Bottom of Page)"/>
        <w:docPartUnique/>
      </w:docPartObj>
    </w:sdtPr>
    <w:sdtEndPr>
      <w:rPr>
        <w:noProof/>
        <w:sz w:val="2"/>
        <w:szCs w:val="2"/>
      </w:rPr>
    </w:sdtEndPr>
    <w:sdtContent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4C67B8" w:rsidRPr="007A545B" w:rsidRDefault="004C67B8" w:rsidP="004C67B8"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458E9C4" wp14:editId="020CD4C1">
                  <wp:simplePos x="0" y="0"/>
                  <wp:positionH relativeFrom="column">
                    <wp:posOffset>-1136822</wp:posOffset>
                  </wp:positionH>
                  <wp:positionV relativeFrom="paragraph">
                    <wp:posOffset>90170</wp:posOffset>
                  </wp:positionV>
                  <wp:extent cx="10997514" cy="121186"/>
                  <wp:effectExtent l="0" t="0" r="0" b="0"/>
                  <wp:wrapNone/>
                  <wp:docPr id="5" name="Rectangle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997514" cy="121186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rect id="Rectangle 5" o:spid="_x0000_s1026" style="position:absolute;margin-left:-89.5pt;margin-top:7.1pt;width:865.95pt;height:9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" fillcolor="#573a6d [3205]" stroked="f" strokeweight="2pt"/>
              </w:pict>
            </mc:Fallback>
          </mc:AlternateContent>
        </w: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1544"/>
          <w:gridCol w:w="3390"/>
        </w:tblGrid>
        <w:tr w:rsidR="004C67B8" w:rsidRPr="007A545B" w:rsidTr="00AD2E97">
          <w:tc>
            <w:tcPr>
              <w:tcW w:w="3865" w:type="pct"/>
              <w:vAlign w:val="bottom"/>
            </w:tcPr>
            <w:p w:rsidR="004C67B8" w:rsidRDefault="004C67B8" w:rsidP="00ED71B8">
              <w:pPr>
                <w:pStyle w:val="Footer"/>
                <w:rPr>
                  <w:b/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 xml:space="preserve">This document is part of the toolkit for </w:t>
              </w:r>
              <w:r w:rsidRPr="007A545B">
                <w:rPr>
                  <w:b/>
                  <w:sz w:val="18"/>
                  <w:szCs w:val="18"/>
                </w:rPr>
                <w:t>Building capacity to support human factors in patient safety</w:t>
              </w:r>
            </w:p>
            <w:p w:rsidR="004C67B8" w:rsidRPr="00E06279" w:rsidRDefault="00AD2E97" w:rsidP="00ED71B8">
              <w:pPr>
                <w:pStyle w:val="Footer"/>
                <w:rPr>
                  <w:b/>
                  <w:color w:val="573A6D" w:themeColor="accent2"/>
                  <w:sz w:val="18"/>
                  <w:szCs w:val="18"/>
                </w:rPr>
              </w:pPr>
              <w:hyperlink r:id="rId1" w:history="1">
                <w:r w:rsidR="004C67B8" w:rsidRPr="00E06279">
                  <w:rPr>
                    <w:rStyle w:val="Hyperlink"/>
                    <w:b/>
                    <w:color w:val="573A6D" w:themeColor="accent2"/>
                    <w:sz w:val="18"/>
                    <w:szCs w:val="18"/>
                  </w:rPr>
                  <w:t>http://www.weahsn.net/what-we-do/enhancing-patient-safety/patient-safety-priorities/human-factors/</w:t>
                </w:r>
              </w:hyperlink>
            </w:p>
            <w:p w:rsidR="004C67B8" w:rsidRPr="007A545B" w:rsidRDefault="004C67B8" w:rsidP="00ED71B8">
              <w:pPr>
                <w:pStyle w:val="Footer"/>
                <w:rPr>
                  <w:sz w:val="18"/>
                  <w:szCs w:val="18"/>
                </w:rPr>
              </w:pPr>
              <w:r w:rsidRPr="007A545B">
                <w:rPr>
                  <w:sz w:val="18"/>
                  <w:szCs w:val="18"/>
                </w:rPr>
                <w:t>Published: January 2016</w:t>
              </w:r>
            </w:p>
          </w:tc>
          <w:tc>
            <w:tcPr>
              <w:tcW w:w="1135" w:type="pct"/>
            </w:tcPr>
            <w:p w:rsidR="004C67B8" w:rsidRPr="007A545B" w:rsidRDefault="004C67B8" w:rsidP="00ED71B8">
              <w:pPr>
                <w:pStyle w:val="Footer"/>
                <w:jc w:val="right"/>
                <w:rPr>
                  <w:sz w:val="18"/>
                  <w:szCs w:val="18"/>
                </w:rPr>
              </w:pPr>
              <w:r w:rsidRPr="007A545B">
                <w:rPr>
                  <w:noProof/>
                  <w:sz w:val="18"/>
                  <w:szCs w:val="18"/>
                  <w:lang w:eastAsia="en-GB"/>
                </w:rPr>
                <w:drawing>
                  <wp:inline distT="0" distB="0" distL="0" distR="0" wp14:anchorId="319B14F5" wp14:editId="257FD60B">
                    <wp:extent cx="1395134" cy="562705"/>
                    <wp:effectExtent l="0" t="0" r="0" b="8890"/>
                    <wp:docPr id="6" name="Pictur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West-of-England-AHSN-logo-e1399549075890.png"/>
                            <pic:cNvPicPr/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5223" cy="56677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4C67B8" w:rsidRDefault="004C67B8" w:rsidP="004C67B8">
        <w:pPr>
          <w:pStyle w:val="Footer"/>
          <w:rPr>
            <w:sz w:val="2"/>
            <w:szCs w:val="2"/>
          </w:rPr>
        </w:pPr>
      </w:p>
      <w:p w:rsidR="008C01A4" w:rsidRPr="004C67B8" w:rsidRDefault="00AD2E97" w:rsidP="004C67B8">
        <w:pPr>
          <w:pStyle w:val="Footer"/>
          <w:rPr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45B" w:rsidRDefault="007A545B" w:rsidP="00387311">
    <w:pPr>
      <w:pStyle w:val="Footer"/>
      <w:rPr>
        <w:sz w:val="2"/>
        <w:szCs w:val="2"/>
      </w:rPr>
    </w:pPr>
  </w:p>
  <w:p w:rsidR="004C67B8" w:rsidRPr="007A545B" w:rsidRDefault="004C67B8" w:rsidP="004C67B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067AC" wp14:editId="16962939">
              <wp:simplePos x="0" y="0"/>
              <wp:positionH relativeFrom="column">
                <wp:posOffset>-1133475</wp:posOffset>
              </wp:positionH>
              <wp:positionV relativeFrom="paragraph">
                <wp:posOffset>31115</wp:posOffset>
              </wp:positionV>
              <wp:extent cx="8218583" cy="121186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583" cy="121186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89.25pt;margin-top:2.45pt;width:647.15pt;height: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" fillcolor="#573a6d [3205]" stroked="f" strokeweight="2pt"/>
          </w:pict>
        </mc:Fallback>
      </mc:AlternateContent>
    </w:r>
  </w:p>
  <w:tbl>
    <w:tblPr>
      <w:tblStyle w:val="TableGrid"/>
      <w:tblW w:w="10632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19"/>
      <w:gridCol w:w="2413"/>
    </w:tblGrid>
    <w:tr w:rsidR="007A545B" w:rsidRPr="007A545B" w:rsidTr="004C67B8">
      <w:tc>
        <w:tcPr>
          <w:tcW w:w="8219" w:type="dxa"/>
          <w:vAlign w:val="bottom"/>
        </w:tcPr>
        <w:p w:rsidR="004C67B8" w:rsidRDefault="007A545B" w:rsidP="007A545B">
          <w:pPr>
            <w:pStyle w:val="Footer"/>
            <w:rPr>
              <w:b/>
              <w:sz w:val="18"/>
              <w:szCs w:val="18"/>
            </w:rPr>
          </w:pPr>
          <w:r w:rsidRPr="007A545B">
            <w:rPr>
              <w:sz w:val="18"/>
              <w:szCs w:val="18"/>
            </w:rPr>
            <w:t xml:space="preserve">This document is part of the toolkit for </w:t>
          </w:r>
          <w:r w:rsidRPr="007A545B">
            <w:rPr>
              <w:b/>
              <w:sz w:val="18"/>
              <w:szCs w:val="18"/>
            </w:rPr>
            <w:t>Building capacity to support human factors in patient safety</w:t>
          </w:r>
        </w:p>
        <w:p w:rsidR="007A545B" w:rsidRDefault="00AD2E97" w:rsidP="007A545B">
          <w:pPr>
            <w:pStyle w:val="Footer"/>
            <w:rPr>
              <w:sz w:val="18"/>
              <w:szCs w:val="18"/>
            </w:rPr>
          </w:pPr>
          <w:hyperlink r:id="rId1" w:history="1">
            <w:r w:rsidR="007A545B" w:rsidRPr="007A545B">
              <w:rPr>
                <w:rStyle w:val="Hyperlink"/>
                <w:sz w:val="18"/>
                <w:szCs w:val="18"/>
              </w:rPr>
              <w:t>http://www.weahsn.net/what-we-do/enhancing-patient-safety/patient-safety-priorities/human-factors/</w:t>
            </w:r>
          </w:hyperlink>
        </w:p>
        <w:p w:rsidR="007A545B" w:rsidRPr="007A545B" w:rsidRDefault="007A545B" w:rsidP="007A545B">
          <w:pPr>
            <w:pStyle w:val="Footer"/>
            <w:rPr>
              <w:sz w:val="18"/>
              <w:szCs w:val="18"/>
            </w:rPr>
          </w:pPr>
          <w:r w:rsidRPr="007A545B">
            <w:rPr>
              <w:sz w:val="18"/>
              <w:szCs w:val="18"/>
            </w:rPr>
            <w:t>Published: January 2016</w:t>
          </w:r>
        </w:p>
      </w:tc>
      <w:tc>
        <w:tcPr>
          <w:tcW w:w="2413" w:type="dxa"/>
        </w:tcPr>
        <w:p w:rsidR="007A545B" w:rsidRPr="007A545B" w:rsidRDefault="007A545B" w:rsidP="007A545B">
          <w:pPr>
            <w:pStyle w:val="Footer"/>
            <w:jc w:val="right"/>
            <w:rPr>
              <w:sz w:val="18"/>
              <w:szCs w:val="18"/>
            </w:rPr>
          </w:pPr>
          <w:r w:rsidRPr="007A545B"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19B82D3A" wp14:editId="49ABC26B">
                <wp:extent cx="1395134" cy="562705"/>
                <wp:effectExtent l="0" t="0" r="0" b="889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st-of-England-AHSN-logo-e1399549075890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5223" cy="5667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A545B" w:rsidRPr="007A545B" w:rsidRDefault="007A545B" w:rsidP="007A545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75" w:rsidRDefault="00F51F75" w:rsidP="008C01A4">
      <w:pPr>
        <w:spacing w:after="0" w:line="240" w:lineRule="auto"/>
      </w:pPr>
      <w:r>
        <w:separator/>
      </w:r>
    </w:p>
  </w:footnote>
  <w:footnote w:type="continuationSeparator" w:id="0">
    <w:p w:rsidR="00F51F75" w:rsidRDefault="00F51F75" w:rsidP="008C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97" w:rsidRDefault="00AD2E97" w:rsidP="00AD2E97">
    <w:pPr>
      <w:pStyle w:val="Heading1"/>
    </w:pPr>
    <w:r>
      <w:t>Lesson Plan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19E"/>
    <w:multiLevelType w:val="hybridMultilevel"/>
    <w:tmpl w:val="34ECCC28"/>
    <w:lvl w:ilvl="0" w:tplc="08090019">
      <w:start w:val="1"/>
      <w:numFmt w:val="lowerLetter"/>
      <w:lvlText w:val="%1."/>
      <w:lvlJc w:val="left"/>
      <w:pPr>
        <w:ind w:left="705" w:hanging="360"/>
      </w:pPr>
    </w:lvl>
    <w:lvl w:ilvl="1" w:tplc="08090019">
      <w:start w:val="1"/>
      <w:numFmt w:val="lowerLetter"/>
      <w:lvlText w:val="%2."/>
      <w:lvlJc w:val="left"/>
      <w:pPr>
        <w:ind w:left="1425" w:hanging="360"/>
      </w:pPr>
    </w:lvl>
    <w:lvl w:ilvl="2" w:tplc="0809001B">
      <w:start w:val="1"/>
      <w:numFmt w:val="lowerRoman"/>
      <w:lvlText w:val="%3."/>
      <w:lvlJc w:val="right"/>
      <w:pPr>
        <w:ind w:left="2145" w:hanging="180"/>
      </w:pPr>
    </w:lvl>
    <w:lvl w:ilvl="3" w:tplc="0809000F">
      <w:start w:val="1"/>
      <w:numFmt w:val="decimal"/>
      <w:lvlText w:val="%4."/>
      <w:lvlJc w:val="left"/>
      <w:pPr>
        <w:ind w:left="2865" w:hanging="360"/>
      </w:pPr>
    </w:lvl>
    <w:lvl w:ilvl="4" w:tplc="08090019">
      <w:start w:val="1"/>
      <w:numFmt w:val="lowerLetter"/>
      <w:lvlText w:val="%5."/>
      <w:lvlJc w:val="left"/>
      <w:pPr>
        <w:ind w:left="3585" w:hanging="360"/>
      </w:pPr>
    </w:lvl>
    <w:lvl w:ilvl="5" w:tplc="0809001B">
      <w:start w:val="1"/>
      <w:numFmt w:val="lowerRoman"/>
      <w:lvlText w:val="%6."/>
      <w:lvlJc w:val="right"/>
      <w:pPr>
        <w:ind w:left="4305" w:hanging="180"/>
      </w:pPr>
    </w:lvl>
    <w:lvl w:ilvl="6" w:tplc="0809000F">
      <w:start w:val="1"/>
      <w:numFmt w:val="decimal"/>
      <w:lvlText w:val="%7."/>
      <w:lvlJc w:val="left"/>
      <w:pPr>
        <w:ind w:left="5025" w:hanging="360"/>
      </w:pPr>
    </w:lvl>
    <w:lvl w:ilvl="7" w:tplc="08090019">
      <w:start w:val="1"/>
      <w:numFmt w:val="lowerLetter"/>
      <w:lvlText w:val="%8."/>
      <w:lvlJc w:val="left"/>
      <w:pPr>
        <w:ind w:left="5745" w:hanging="360"/>
      </w:pPr>
    </w:lvl>
    <w:lvl w:ilvl="8" w:tplc="080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75"/>
    <w:rsid w:val="00037AF9"/>
    <w:rsid w:val="00070ED6"/>
    <w:rsid w:val="00143400"/>
    <w:rsid w:val="001C3D1E"/>
    <w:rsid w:val="00214512"/>
    <w:rsid w:val="00387311"/>
    <w:rsid w:val="003D3177"/>
    <w:rsid w:val="0045305A"/>
    <w:rsid w:val="004C67B8"/>
    <w:rsid w:val="00520D1C"/>
    <w:rsid w:val="00546A41"/>
    <w:rsid w:val="00645048"/>
    <w:rsid w:val="007A545B"/>
    <w:rsid w:val="007D1ACD"/>
    <w:rsid w:val="008C01A4"/>
    <w:rsid w:val="00AD2E97"/>
    <w:rsid w:val="00BC6265"/>
    <w:rsid w:val="00C82A05"/>
    <w:rsid w:val="00CC6C8A"/>
    <w:rsid w:val="00D71709"/>
    <w:rsid w:val="00E06279"/>
    <w:rsid w:val="00E5401C"/>
    <w:rsid w:val="00E85B79"/>
    <w:rsid w:val="00F51F75"/>
    <w:rsid w:val="00FE3917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D2E97"/>
    <w:pPr>
      <w:spacing w:after="0" w:line="240" w:lineRule="auto"/>
    </w:pPr>
    <w:tblPr>
      <w:tblStyleRowBandSize w:val="1"/>
      <w:tblStyleColBandSize w:val="1"/>
      <w:tblBorders>
        <w:top w:val="single" w:sz="8" w:space="0" w:color="573A6D" w:themeColor="accent2"/>
        <w:left w:val="single" w:sz="8" w:space="0" w:color="573A6D" w:themeColor="accent2"/>
        <w:bottom w:val="single" w:sz="8" w:space="0" w:color="573A6D" w:themeColor="accent2"/>
        <w:right w:val="single" w:sz="8" w:space="0" w:color="573A6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3A6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  <w:tblStylePr w:type="band1Horz">
      <w:tblPr/>
      <w:tcPr>
        <w:tcBorders>
          <w:top w:val="single" w:sz="8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D1C"/>
    <w:pPr>
      <w:keepNext/>
      <w:keepLines/>
      <w:outlineLvl w:val="0"/>
    </w:pPr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1A4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01A4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305A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A4"/>
    <w:rPr>
      <w:rFonts w:ascii="Tahoma" w:hAnsi="Tahoma" w:cs="Tahoma"/>
      <w:sz w:val="16"/>
      <w:szCs w:val="16"/>
    </w:rPr>
  </w:style>
  <w:style w:type="paragraph" w:customStyle="1" w:styleId="Mainitembody">
    <w:name w:val="Main item body"/>
    <w:basedOn w:val="Normal"/>
    <w:rsid w:val="008C01A4"/>
    <w:pPr>
      <w:spacing w:before="160" w:after="0" w:line="240" w:lineRule="auto"/>
      <w:ind w:left="720"/>
    </w:pPr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0D1C"/>
    <w:rPr>
      <w:rFonts w:asciiTheme="majorHAnsi" w:eastAsia="Calibri" w:hAnsiTheme="majorHAnsi" w:cs="Arial"/>
      <w:b/>
      <w:bCs/>
      <w:color w:val="573A6D" w:themeColor="accent2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1A4"/>
  </w:style>
  <w:style w:type="paragraph" w:styleId="Footer">
    <w:name w:val="footer"/>
    <w:basedOn w:val="Normal"/>
    <w:link w:val="FooterChar"/>
    <w:uiPriority w:val="99"/>
    <w:unhideWhenUsed/>
    <w:rsid w:val="008C0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A4"/>
  </w:style>
  <w:style w:type="character" w:customStyle="1" w:styleId="Heading3Char">
    <w:name w:val="Heading 3 Char"/>
    <w:basedOn w:val="DefaultParagraphFont"/>
    <w:link w:val="Heading3"/>
    <w:uiPriority w:val="9"/>
    <w:rsid w:val="008C01A4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7D1ACD"/>
    <w:pPr>
      <w:spacing w:before="400" w:after="8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7D1ACD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5305A"/>
    <w:rPr>
      <w:rFonts w:asciiTheme="majorHAnsi" w:eastAsiaTheme="majorEastAsia" w:hAnsiTheme="majorHAnsi" w:cstheme="majorBidi"/>
      <w:b/>
      <w:bCs/>
      <w:i/>
      <w:iCs/>
      <w:color w:val="573A6D" w:themeColor="accent2"/>
    </w:rPr>
  </w:style>
  <w:style w:type="paragraph" w:styleId="NoSpacing">
    <w:name w:val="No Spacing"/>
    <w:uiPriority w:val="1"/>
    <w:qFormat/>
    <w:rsid w:val="008C01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1ACD"/>
    <w:rPr>
      <w:color w:val="AB8DC2" w:themeColor="hyperlink"/>
      <w:u w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ACD"/>
    <w:pPr>
      <w:numPr>
        <w:ilvl w:val="1"/>
      </w:numPr>
    </w:pPr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customStyle="1" w:styleId="SubtitleChar">
    <w:name w:val="Subtitle Char"/>
    <w:basedOn w:val="DefaultParagraphFont"/>
    <w:link w:val="Subtitle"/>
    <w:uiPriority w:val="11"/>
    <w:rsid w:val="007D1ACD"/>
    <w:rPr>
      <w:rFonts w:asciiTheme="majorHAnsi" w:eastAsiaTheme="majorEastAsia" w:hAnsiTheme="majorHAnsi" w:cstheme="majorBidi"/>
      <w:i/>
      <w:iCs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D1ACD"/>
    <w:rPr>
      <w:color w:val="AB8DC2" w:themeColor="followedHyperlink"/>
      <w:u w:val="single"/>
    </w:rPr>
  </w:style>
  <w:style w:type="table" w:styleId="TableGrid">
    <w:name w:val="Table Grid"/>
    <w:basedOn w:val="TableNormal"/>
    <w:uiPriority w:val="59"/>
    <w:rsid w:val="007A5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AD2E97"/>
    <w:pPr>
      <w:spacing w:after="0" w:line="240" w:lineRule="auto"/>
    </w:pPr>
    <w:tblPr>
      <w:tblStyleRowBandSize w:val="1"/>
      <w:tblStyleColBandSize w:val="1"/>
      <w:tblBorders>
        <w:top w:val="single" w:sz="8" w:space="0" w:color="573A6D" w:themeColor="accent2"/>
        <w:left w:val="single" w:sz="8" w:space="0" w:color="573A6D" w:themeColor="accent2"/>
        <w:bottom w:val="single" w:sz="8" w:space="0" w:color="573A6D" w:themeColor="accent2"/>
        <w:right w:val="single" w:sz="8" w:space="0" w:color="573A6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3A6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  <w:tblStylePr w:type="band1Horz">
      <w:tblPr/>
      <w:tcPr>
        <w:tcBorders>
          <w:top w:val="single" w:sz="8" w:space="0" w:color="573A6D" w:themeColor="accent2"/>
          <w:left w:val="single" w:sz="8" w:space="0" w:color="573A6D" w:themeColor="accent2"/>
          <w:bottom w:val="single" w:sz="8" w:space="0" w:color="573A6D" w:themeColor="accent2"/>
          <w:right w:val="single" w:sz="8" w:space="0" w:color="573A6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weahsn.net/what-we-do/enhancing-patient-safety/patient-safety-priorities/human-factor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atient%20Safety%20Workstream\4.%20Human%20Factors\toolkit_development\appendix_template.dotx" TargetMode="External"/></Relationships>
</file>

<file path=word/theme/theme1.xml><?xml version="1.0" encoding="utf-8"?>
<a:theme xmlns:a="http://schemas.openxmlformats.org/drawingml/2006/main" name="Office Theme">
  <a:themeElements>
    <a:clrScheme name="weahs">
      <a:dk1>
        <a:sysClr val="windowText" lastClr="000000"/>
      </a:dk1>
      <a:lt1>
        <a:sysClr val="window" lastClr="FFFFFF"/>
      </a:lt1>
      <a:dk2>
        <a:srgbClr val="1C00EB"/>
      </a:dk2>
      <a:lt2>
        <a:srgbClr val="B7CDD9"/>
      </a:lt2>
      <a:accent1>
        <a:srgbClr val="AB8DC2"/>
      </a:accent1>
      <a:accent2>
        <a:srgbClr val="573A6D"/>
      </a:accent2>
      <a:accent3>
        <a:srgbClr val="5DB6E6"/>
      </a:accent3>
      <a:accent4>
        <a:srgbClr val="00B5DF"/>
      </a:accent4>
      <a:accent5>
        <a:srgbClr val="F47F72"/>
      </a:accent5>
      <a:accent6>
        <a:srgbClr val="E0A2B3"/>
      </a:accent6>
      <a:hlink>
        <a:srgbClr val="AB8DC2"/>
      </a:hlink>
      <a:folHlink>
        <a:srgbClr val="AB8DC2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appendix_template</Template>
  <TotalTime>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nathalie.delaney</dc:creator>
  <cp:lastModifiedBy>nathalie.delaney</cp:lastModifiedBy>
  <cp:revision>2</cp:revision>
  <dcterms:created xsi:type="dcterms:W3CDTF">2016-03-15T16:07:00Z</dcterms:created>
  <dcterms:modified xsi:type="dcterms:W3CDTF">2016-03-15T16:10:00Z</dcterms:modified>
</cp:coreProperties>
</file>